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64703E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64703E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64703E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64703E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64703E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64703E" w:rsidRPr="0053083B" w:rsidRDefault="0064703E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6B68A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6B68AA" w:rsidRPr="0053083B" w:rsidRDefault="006B68AA" w:rsidP="006B68AA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6B68AA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6B68AA" w:rsidRPr="001166DF" w:rsidRDefault="006B68AA" w:rsidP="006B68AA">
            <w:pPr>
              <w:pStyle w:val="af0"/>
              <w:spacing w:line="312" w:lineRule="auto"/>
              <w:jc w:val="left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180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64703E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D144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ЖЕЛЕЗНОДОРОЖНЫЙ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8F6DD5" w:rsidRPr="00BD0F15" w:rsidRDefault="009112B7" w:rsidP="009112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C42B3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EF6C3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E766E9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306F6" w:rsidRPr="00BD0F15" w:rsidTr="00F740DE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F740DE">
        <w:trPr>
          <w:jc w:val="right"/>
        </w:trPr>
        <w:tc>
          <w:tcPr>
            <w:tcW w:w="8931" w:type="dxa"/>
          </w:tcPr>
          <w:p w:rsidR="00D306F6" w:rsidRPr="00BD0F15" w:rsidRDefault="00D306F6" w:rsidP="00F74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F74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1444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Железнодорожный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A7C96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ED6110">
        <w:tc>
          <w:tcPr>
            <w:tcW w:w="2376" w:type="dxa"/>
            <w:shd w:val="clear" w:color="auto" w:fill="auto"/>
            <w:vAlign w:val="center"/>
          </w:tcPr>
          <w:p w:rsidR="00B31522" w:rsidRPr="00C02794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C02794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C02794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C02794" w:rsidRDefault="00EA3A6A" w:rsidP="00464025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местный бюджет – 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5E3EDC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 является поселок Березовский, кроме административного центра на его территории расположен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станция Панкрушиха. Рас</w:t>
      </w:r>
      <w:r w:rsidR="00C027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п. Березовский до районного центра – с. Панкрушиха составляет 16км. Общая площадь территории сельсовета 5015 га.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граничит с Панкрушихинским, Зятьковским и Кривинским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итории МО Железнодорожный сельсовет развита очень слабо. По днищам логов и лощинообразным понижениям протекают ручьи в основном с юга на север.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057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EF6C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D0F15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EF6C30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Населенных</w:t>
            </w:r>
            <w:r w:rsidR="005424DC" w:rsidRPr="00BD0F15">
              <w:rPr>
                <w:color w:val="000000" w:themeColor="text1"/>
                <w:sz w:val="26"/>
                <w:szCs w:val="26"/>
              </w:rPr>
              <w:t xml:space="preserve">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B78AB" w:rsidP="000B5DEE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AB" w:rsidRPr="00BD0F15" w:rsidRDefault="00DB78AB" w:rsidP="00DB78AB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156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пос. Березовский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432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E76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4A03C8" w:rsidRPr="004A03C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81086E">
        <w:rPr>
          <w:color w:val="000000" w:themeColor="text1"/>
          <w:sz w:val="26"/>
          <w:szCs w:val="26"/>
        </w:rPr>
        <w:t>Железнодорожный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 только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131E03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="00C02D06" w:rsidRPr="00BD0F15">
        <w:rPr>
          <w:color w:val="000000" w:themeColor="text1"/>
          <w:sz w:val="26"/>
          <w:szCs w:val="26"/>
        </w:rPr>
        <w:t>месторождени</w:t>
      </w:r>
      <w:r w:rsidR="00046BC9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</w:t>
      </w:r>
      <w:r w:rsidR="00046BC9">
        <w:rPr>
          <w:color w:val="000000" w:themeColor="text1"/>
          <w:sz w:val="26"/>
          <w:szCs w:val="26"/>
        </w:rPr>
        <w:t>из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046BC9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046BC9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 xml:space="preserve">запитана </w:t>
      </w:r>
      <w:r w:rsidR="00046BC9">
        <w:rPr>
          <w:color w:val="000000" w:themeColor="text1"/>
          <w:sz w:val="26"/>
          <w:szCs w:val="26"/>
        </w:rPr>
        <w:t>непосредственно от артезианской скважины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31E03">
        <w:rPr>
          <w:color w:val="000000" w:themeColor="text1"/>
          <w:sz w:val="26"/>
          <w:szCs w:val="26"/>
        </w:rPr>
        <w:t>В состав</w:t>
      </w:r>
      <w:r w:rsidRPr="00BD0F15">
        <w:rPr>
          <w:color w:val="000000" w:themeColor="text1"/>
          <w:sz w:val="26"/>
          <w:szCs w:val="26"/>
        </w:rPr>
        <w:t xml:space="preserve"> водопроводных сооружений вход</w:t>
      </w:r>
      <w:r w:rsidR="00520C95">
        <w:rPr>
          <w:color w:val="000000" w:themeColor="text1"/>
          <w:sz w:val="26"/>
          <w:szCs w:val="26"/>
        </w:rPr>
        <w:t>и</w:t>
      </w:r>
      <w:r w:rsidRPr="00BD0F15">
        <w:rPr>
          <w:color w:val="000000" w:themeColor="text1"/>
          <w:sz w:val="26"/>
          <w:szCs w:val="26"/>
        </w:rPr>
        <w:t>т</w:t>
      </w:r>
      <w:r w:rsidR="00046BC9">
        <w:rPr>
          <w:color w:val="000000" w:themeColor="text1"/>
          <w:sz w:val="26"/>
          <w:szCs w:val="26"/>
        </w:rPr>
        <w:t xml:space="preserve"> распредел</w:t>
      </w:r>
      <w:r w:rsidR="000B5DEE">
        <w:rPr>
          <w:color w:val="000000" w:themeColor="text1"/>
          <w:sz w:val="26"/>
          <w:szCs w:val="26"/>
        </w:rPr>
        <w:t>и</w:t>
      </w:r>
      <w:r w:rsidR="00046BC9">
        <w:rPr>
          <w:color w:val="000000" w:themeColor="text1"/>
          <w:sz w:val="26"/>
          <w:szCs w:val="26"/>
        </w:rPr>
        <w:t>тельная</w:t>
      </w:r>
      <w:r w:rsidR="00DB78AB">
        <w:rPr>
          <w:color w:val="000000" w:themeColor="text1"/>
          <w:sz w:val="26"/>
          <w:szCs w:val="26"/>
        </w:rPr>
        <w:t xml:space="preserve"> </w:t>
      </w:r>
      <w:r w:rsidR="00520C95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0B5DEE">
        <w:rPr>
          <w:color w:val="000000" w:themeColor="text1"/>
          <w:sz w:val="26"/>
          <w:szCs w:val="26"/>
        </w:rPr>
        <w:t>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0A7C96">
        <w:rPr>
          <w:color w:val="000000" w:themeColor="text1"/>
          <w:sz w:val="26"/>
          <w:szCs w:val="26"/>
        </w:rPr>
        <w:t>5,45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3B429F">
        <w:rPr>
          <w:color w:val="000000" w:themeColor="text1"/>
          <w:sz w:val="26"/>
          <w:szCs w:val="26"/>
        </w:rPr>
        <w:t>ой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="003B429F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160C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4A2D72">
        <w:rPr>
          <w:color w:val="000000" w:themeColor="text1"/>
          <w:sz w:val="26"/>
          <w:szCs w:val="26"/>
        </w:rPr>
        <w:t>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C160CB">
        <w:rPr>
          <w:color w:val="000000" w:themeColor="text1"/>
          <w:sz w:val="26"/>
          <w:szCs w:val="26"/>
        </w:rPr>
        <w:t>по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C160CB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6A158C" w:rsidRPr="00BD0F15" w:rsidRDefault="0028705C" w:rsidP="008E3A7A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5667D1" w:rsidRPr="00BD0F15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Пожаротушение </w:t>
      </w:r>
      <w:r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в настоящее время решается </w:t>
      </w:r>
      <w:r>
        <w:rPr>
          <w:color w:val="000000" w:themeColor="text1"/>
          <w:sz w:val="26"/>
          <w:szCs w:val="26"/>
        </w:rPr>
        <w:t xml:space="preserve">подвозом воды в цистернах, </w:t>
      </w:r>
      <w:r w:rsidRPr="00BD0F15">
        <w:rPr>
          <w:color w:val="000000" w:themeColor="text1"/>
          <w:sz w:val="26"/>
          <w:szCs w:val="26"/>
        </w:rPr>
        <w:t xml:space="preserve">пожарными машинами. </w:t>
      </w:r>
      <w:r w:rsidR="000B5DEE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 xml:space="preserve">а распределительной водопроводной сети </w:t>
      </w:r>
      <w:r w:rsidR="000B5DEE">
        <w:rPr>
          <w:color w:val="000000" w:themeColor="text1"/>
          <w:sz w:val="26"/>
          <w:szCs w:val="26"/>
        </w:rPr>
        <w:t>установлены 33 пожарных гидранта</w:t>
      </w:r>
      <w:r>
        <w:rPr>
          <w:color w:val="000000" w:themeColor="text1"/>
          <w:sz w:val="26"/>
          <w:szCs w:val="26"/>
        </w:rPr>
        <w:t>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DB78AB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230B52">
        <w:rPr>
          <w:color w:val="000000" w:themeColor="text1"/>
          <w:sz w:val="26"/>
          <w:szCs w:val="26"/>
        </w:rPr>
        <w:t>по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171F86">
        <w:rPr>
          <w:color w:val="000000" w:themeColor="text1"/>
          <w:sz w:val="26"/>
          <w:szCs w:val="26"/>
        </w:rPr>
        <w:t>6</w:t>
      </w:r>
      <w:r w:rsidR="0064511F" w:rsidRPr="00BD0F15"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</w:t>
      </w:r>
      <w:r w:rsidR="00230B52">
        <w:rPr>
          <w:color w:val="000000" w:themeColor="text1"/>
          <w:sz w:val="26"/>
          <w:szCs w:val="26"/>
        </w:rPr>
        <w:t>труб</w:t>
      </w:r>
      <w:r w:rsidR="00171F86">
        <w:rPr>
          <w:color w:val="000000" w:themeColor="text1"/>
          <w:sz w:val="26"/>
          <w:szCs w:val="26"/>
        </w:rPr>
        <w:t xml:space="preserve"> ПЭТ</w:t>
      </w:r>
      <w:r w:rsidR="00230B52">
        <w:rPr>
          <w:color w:val="000000" w:themeColor="text1"/>
          <w:sz w:val="26"/>
          <w:szCs w:val="26"/>
        </w:rPr>
        <w:t>.</w:t>
      </w:r>
      <w:r w:rsidR="00DB78AB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312967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312967" w:rsidRPr="00BD0F15">
        <w:rPr>
          <w:color w:val="000000" w:themeColor="text1"/>
          <w:sz w:val="26"/>
          <w:szCs w:val="26"/>
        </w:rPr>
        <w:t xml:space="preserve"> амортизированы</w:t>
      </w:r>
      <w:r w:rsidR="00171F86">
        <w:rPr>
          <w:color w:val="000000" w:themeColor="text1"/>
          <w:sz w:val="26"/>
          <w:szCs w:val="26"/>
        </w:rPr>
        <w:t xml:space="preserve"> на 32 %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</w:t>
      </w:r>
      <w:r w:rsidR="00395C94">
        <w:rPr>
          <w:color w:val="000000" w:themeColor="text1"/>
          <w:sz w:val="26"/>
          <w:szCs w:val="26"/>
        </w:rPr>
        <w:t xml:space="preserve">ческий износ составляет </w:t>
      </w:r>
      <w:r w:rsidR="00171F86">
        <w:rPr>
          <w:color w:val="000000" w:themeColor="text1"/>
          <w:sz w:val="26"/>
          <w:szCs w:val="26"/>
        </w:rPr>
        <w:t>около 30 %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3C2EA8" w:rsidRDefault="003C2EA8" w:rsidP="00B45090">
      <w:pPr>
        <w:pStyle w:val="3"/>
        <w:shd w:val="clear" w:color="auto" w:fill="auto"/>
        <w:spacing w:after="0" w:line="312" w:lineRule="auto"/>
        <w:ind w:firstLine="709"/>
        <w:jc w:val="both"/>
      </w:pPr>
      <w:r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98826333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230B52">
        <w:rPr>
          <w:color w:val="000000" w:themeColor="text1"/>
          <w:sz w:val="26"/>
          <w:szCs w:val="26"/>
        </w:rPr>
        <w:t xml:space="preserve"> 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490986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Tr="00CF74DA">
        <w:tc>
          <w:tcPr>
            <w:tcW w:w="1953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0B52" w:rsidTr="00CF74DA">
        <w:tc>
          <w:tcPr>
            <w:tcW w:w="1953" w:type="dxa"/>
          </w:tcPr>
          <w:p w:rsidR="00230B52" w:rsidRPr="00CF74DA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124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7" w:type="dxa"/>
            <w:vAlign w:val="center"/>
          </w:tcPr>
          <w:p w:rsidR="00230B52" w:rsidRPr="00CF74DA" w:rsidRDefault="00395C94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77,2</w:t>
            </w:r>
          </w:p>
        </w:tc>
        <w:tc>
          <w:tcPr>
            <w:tcW w:w="1842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sz w:val="26"/>
                <w:szCs w:val="26"/>
              </w:rPr>
              <w:t>ЭЦВ 6-10-160</w:t>
            </w:r>
          </w:p>
        </w:tc>
        <w:tc>
          <w:tcPr>
            <w:tcW w:w="1985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D0F15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D41CB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D41CBD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395C94">
        <w:rPr>
          <w:color w:val="000000" w:themeColor="text1"/>
          <w:sz w:val="26"/>
          <w:szCs w:val="26"/>
        </w:rPr>
        <w:t>Железнодорожный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</w:t>
      </w:r>
      <w:r w:rsidR="00395C94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DB78AB">
        <w:rPr>
          <w:color w:val="000000" w:themeColor="text1"/>
          <w:sz w:val="26"/>
          <w:szCs w:val="26"/>
        </w:rPr>
        <w:t>5,45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30%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95C94">
        <w:rPr>
          <w:color w:val="000000" w:themeColor="text1"/>
          <w:sz w:val="26"/>
          <w:szCs w:val="26"/>
        </w:rPr>
        <w:br/>
      </w: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395C94">
        <w:rPr>
          <w:color w:val="000000" w:themeColor="text1"/>
          <w:sz w:val="26"/>
          <w:szCs w:val="26"/>
        </w:rPr>
        <w:t>пос. Березовский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690B66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BD0F15" w:rsidRDefault="00395C9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 Березовский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6</w:t>
            </w:r>
            <w:r w:rsidR="00395C94">
              <w:rPr>
                <w:rStyle w:val="1"/>
                <w:sz w:val="26"/>
                <w:szCs w:val="26"/>
              </w:rPr>
              <w:t>,0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32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DB78AB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DB78AB">
        <w:rPr>
          <w:color w:val="000000" w:themeColor="text1"/>
          <w:sz w:val="26"/>
          <w:szCs w:val="26"/>
        </w:rPr>
        <w:t xml:space="preserve"> </w:t>
      </w:r>
      <w:r w:rsidR="00395C94">
        <w:rPr>
          <w:color w:val="000000" w:themeColor="text1"/>
          <w:sz w:val="26"/>
          <w:szCs w:val="26"/>
        </w:rPr>
        <w:t>ст. Панкрушиха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</w:t>
      </w:r>
      <w:r w:rsidR="00AB2DA1">
        <w:rPr>
          <w:color w:val="000000" w:themeColor="text1"/>
          <w:sz w:val="26"/>
          <w:szCs w:val="26"/>
        </w:rPr>
        <w:t xml:space="preserve"> и подвозом воды в цистернах</w:t>
      </w:r>
      <w:r w:rsidRPr="00BD0F15">
        <w:rPr>
          <w:color w:val="000000" w:themeColor="text1"/>
          <w:sz w:val="26"/>
          <w:szCs w:val="26"/>
        </w:rPr>
        <w:t>. Противопожарны</w:t>
      </w:r>
      <w:r w:rsidR="00AB2DA1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</w:t>
      </w:r>
      <w:r w:rsidR="000C2110">
        <w:rPr>
          <w:color w:val="000000" w:themeColor="text1"/>
          <w:sz w:val="26"/>
          <w:szCs w:val="26"/>
        </w:rPr>
        <w:t xml:space="preserve"> объемом 5 м</w:t>
      </w:r>
      <w:r w:rsidR="000C2110" w:rsidRPr="000C2110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в населенн</w:t>
      </w:r>
      <w:r w:rsidR="00171F86">
        <w:rPr>
          <w:color w:val="000000" w:themeColor="text1"/>
          <w:sz w:val="26"/>
          <w:szCs w:val="26"/>
        </w:rPr>
        <w:t>ом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пункт</w:t>
      </w:r>
      <w:r w:rsidR="00171F86">
        <w:rPr>
          <w:color w:val="000000" w:themeColor="text1"/>
          <w:sz w:val="26"/>
          <w:szCs w:val="26"/>
        </w:rPr>
        <w:t>е</w:t>
      </w:r>
      <w:r w:rsidR="00DB78AB">
        <w:rPr>
          <w:color w:val="000000" w:themeColor="text1"/>
          <w:sz w:val="26"/>
          <w:szCs w:val="26"/>
        </w:rPr>
        <w:t xml:space="preserve"> </w:t>
      </w:r>
      <w:r w:rsidR="00AB2DA1">
        <w:rPr>
          <w:color w:val="000000" w:themeColor="text1"/>
          <w:sz w:val="26"/>
          <w:szCs w:val="26"/>
        </w:rPr>
        <w:t>расположен на территории школы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Железнодорожный</w:t>
      </w:r>
      <w:r w:rsidR="006A158C"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="006A158C"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="006A158C"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</w:t>
      </w:r>
      <w:r w:rsidR="00D41CBD">
        <w:rPr>
          <w:color w:val="000000" w:themeColor="text1"/>
          <w:sz w:val="26"/>
          <w:szCs w:val="26"/>
        </w:rPr>
        <w:t xml:space="preserve"> подземных вод</w:t>
      </w:r>
      <w:r w:rsidR="00B576C8" w:rsidRPr="00BD0F15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DB78A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протяженностью </w:t>
      </w:r>
      <w:r w:rsidR="00171F86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</w:t>
      </w:r>
      <w:r w:rsidR="00E818AF">
        <w:rPr>
          <w:color w:val="000000" w:themeColor="text1"/>
          <w:sz w:val="26"/>
          <w:szCs w:val="26"/>
        </w:rPr>
        <w:t>истемы водоснабжения 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D41CB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E818AF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97"/>
        <w:gridCol w:w="4961"/>
      </w:tblGrid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89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D0F15" w:rsidRDefault="00DE376D" w:rsidP="00452219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452219">
              <w:rPr>
                <w:color w:val="000000" w:themeColor="text1"/>
                <w:sz w:val="26"/>
                <w:szCs w:val="26"/>
              </w:rPr>
              <w:t>около 30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CA157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CA1571">
              <w:rPr>
                <w:color w:val="000000" w:themeColor="text1"/>
                <w:sz w:val="26"/>
                <w:szCs w:val="26"/>
              </w:rPr>
              <w:t>192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CA15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97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DB78AB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DB78AB">
              <w:rPr>
                <w:color w:val="000000" w:themeColor="text1"/>
                <w:sz w:val="26"/>
                <w:szCs w:val="26"/>
              </w:rPr>
              <w:t>5,45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E01BA5">
              <w:rPr>
                <w:color w:val="000000" w:themeColor="text1"/>
                <w:sz w:val="26"/>
                <w:szCs w:val="26"/>
              </w:rPr>
              <w:t>17,46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 диаметром 110 мм. Источником воды явля</w:t>
            </w:r>
            <w:r w:rsidR="00CA1571">
              <w:rPr>
                <w:color w:val="000000" w:themeColor="text1"/>
                <w:sz w:val="26"/>
                <w:szCs w:val="26"/>
              </w:rPr>
              <w:t>е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CA1571">
              <w:rPr>
                <w:color w:val="000000" w:themeColor="text1"/>
                <w:sz w:val="26"/>
                <w:szCs w:val="26"/>
              </w:rPr>
              <w:t>1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CA1571">
              <w:rPr>
                <w:color w:val="000000" w:themeColor="text1"/>
                <w:sz w:val="26"/>
                <w:szCs w:val="26"/>
              </w:rPr>
              <w:t>ая скважина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3776F4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50270B">
        <w:rPr>
          <w:color w:val="000000" w:themeColor="text1"/>
          <w:sz w:val="26"/>
          <w:szCs w:val="26"/>
        </w:rPr>
        <w:t>одной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</w:t>
      </w:r>
      <w:r w:rsidR="0050270B">
        <w:rPr>
          <w:color w:val="000000" w:themeColor="text1"/>
          <w:sz w:val="26"/>
          <w:szCs w:val="26"/>
        </w:rPr>
        <w:t>ы</w:t>
      </w:r>
      <w:r w:rsidR="00460F4C" w:rsidRPr="00BD0F15">
        <w:rPr>
          <w:color w:val="000000" w:themeColor="text1"/>
          <w:sz w:val="26"/>
          <w:szCs w:val="26"/>
        </w:rPr>
        <w:t xml:space="preserve">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50270B">
        <w:rPr>
          <w:color w:val="000000" w:themeColor="text1"/>
          <w:sz w:val="26"/>
          <w:szCs w:val="26"/>
        </w:rPr>
        <w:t>С</w:t>
      </w:r>
      <w:r w:rsidR="008318E3" w:rsidRPr="00BD0F15">
        <w:rPr>
          <w:color w:val="000000" w:themeColor="text1"/>
          <w:sz w:val="26"/>
          <w:szCs w:val="26"/>
        </w:rPr>
        <w:t xml:space="preserve">кважина имеет глубину </w:t>
      </w:r>
      <w:r w:rsidR="00CE65D4">
        <w:rPr>
          <w:color w:val="000000" w:themeColor="text1"/>
          <w:sz w:val="26"/>
          <w:szCs w:val="26"/>
        </w:rPr>
        <w:t>315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8318E3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D0F15" w:rsidTr="0050270B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учета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50270B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BD0F15" w:rsidRDefault="0050270B" w:rsidP="005027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</w:t>
            </w:r>
            <w:r w:rsidR="00F60CC4" w:rsidRPr="00BD0F15">
              <w:rPr>
                <w:rStyle w:val="1"/>
                <w:sz w:val="26"/>
                <w:szCs w:val="26"/>
              </w:rPr>
              <w:t>с</w:t>
            </w:r>
            <w:r>
              <w:rPr>
                <w:rStyle w:val="1"/>
                <w:sz w:val="26"/>
                <w:szCs w:val="26"/>
              </w:rPr>
              <w:t>. Березовский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50270B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  <w:r w:rsidR="0050270B">
              <w:rPr>
                <w:rStyle w:val="1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="0050270B">
              <w:rPr>
                <w:rStyle w:val="1"/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3776F4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061D92">
        <w:rPr>
          <w:color w:val="000000" w:themeColor="text1"/>
          <w:sz w:val="26"/>
          <w:szCs w:val="26"/>
        </w:rPr>
        <w:t>непосредственно из артезианской скважины водозабора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061D92">
        <w:rPr>
          <w:color w:val="000000" w:themeColor="text1"/>
          <w:sz w:val="26"/>
          <w:szCs w:val="26"/>
        </w:rPr>
        <w:t>водопроводную сеть</w:t>
      </w:r>
      <w:r w:rsidR="00E451AA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51AA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6140DF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6140DF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850528" w:rsidRPr="00BD0F15" w:rsidRDefault="0085052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840" w:type="dxa"/>
        <w:tblInd w:w="113" w:type="dxa"/>
        <w:tblLook w:val="04A0" w:firstRow="1" w:lastRow="0" w:firstColumn="1" w:lastColumn="0" w:noHBand="0" w:noVBand="1"/>
      </w:tblPr>
      <w:tblGrid>
        <w:gridCol w:w="3964"/>
        <w:gridCol w:w="1276"/>
        <w:gridCol w:w="960"/>
        <w:gridCol w:w="1166"/>
        <w:gridCol w:w="1200"/>
        <w:gridCol w:w="1274"/>
      </w:tblGrid>
      <w:tr w:rsidR="00850528" w:rsidRPr="00850528" w:rsidTr="00E766E9">
        <w:trPr>
          <w:trHeight w:val="99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50528" w:rsidRPr="00850528" w:rsidTr="00E766E9">
        <w:trPr>
          <w:trHeight w:val="660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850528" w:rsidRPr="00850528" w:rsidTr="00850528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50270B" w:rsidRPr="0050270B">
        <w:rPr>
          <w:b/>
          <w:color w:val="000000" w:themeColor="text1"/>
          <w:sz w:val="26"/>
          <w:szCs w:val="26"/>
        </w:rPr>
        <w:t>Железнодорожный</w:t>
      </w:r>
      <w:r w:rsidR="00850528">
        <w:rPr>
          <w:b/>
          <w:color w:val="000000" w:themeColor="text1"/>
          <w:sz w:val="26"/>
          <w:szCs w:val="26"/>
        </w:rPr>
        <w:t xml:space="preserve"> </w:t>
      </w:r>
      <w:r w:rsidRPr="00BD0F15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представлен в таблице 7.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40FA1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</w:rPr>
              <w:t>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B2577A">
              <w:rPr>
                <w:rStyle w:val="af"/>
                <w:b w:val="0"/>
                <w:color w:val="000000" w:themeColor="text1"/>
              </w:rPr>
              <w:t>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</w:t>
            </w:r>
            <w:r w:rsidR="00B2577A">
              <w:rPr>
                <w:rStyle w:val="af"/>
                <w:b w:val="0"/>
                <w:color w:val="000000" w:themeColor="text1"/>
              </w:rPr>
              <w:t>01</w:t>
            </w:r>
          </w:p>
        </w:tc>
      </w:tr>
      <w:tr w:rsidR="009777C6" w:rsidRPr="00BD0F15" w:rsidTr="005D22A2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B2577A" w:rsidP="009777C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9777C6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B2577A">
              <w:rPr>
                <w:rStyle w:val="af"/>
                <w:b w:val="0"/>
              </w:rPr>
              <w:t>001</w:t>
            </w:r>
          </w:p>
        </w:tc>
      </w:tr>
      <w:tr w:rsidR="009777C6" w:rsidRPr="00BD0F15" w:rsidTr="005D22A2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47110" w:rsidRPr="00247110" w:rsidRDefault="00247110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9777C6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247110"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E4772B" w:rsidRPr="0056160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56160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013544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40FA1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89659B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013544" w:rsidRDefault="0089659B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013544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</w:t>
            </w:r>
            <w:r w:rsidR="00EE1542" w:rsidRPr="00013544">
              <w:rPr>
                <w:rStyle w:val="af"/>
                <w:b w:val="0"/>
                <w:color w:val="000000" w:themeColor="text1"/>
              </w:rPr>
              <w:t>3</w:t>
            </w:r>
            <w:r w:rsidR="0089659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40FA1" w:rsidRPr="00BD0F15" w:rsidTr="00561605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40FA1" w:rsidRPr="00013544" w:rsidRDefault="00D56163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D56163" w:rsidP="00446C5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 w:rsidR="00446C51"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40FA1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40FA1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13544">
        <w:rPr>
          <w:color w:val="000000" w:themeColor="text1"/>
          <w:sz w:val="26"/>
          <w:szCs w:val="26"/>
        </w:rPr>
        <w:t>1.</w:t>
      </w:r>
      <w:r w:rsidRPr="00013544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013544">
        <w:rPr>
          <w:color w:val="000000" w:themeColor="text1"/>
          <w:sz w:val="26"/>
          <w:szCs w:val="26"/>
        </w:rPr>
        <w:t>, получающем услугу,</w:t>
      </w:r>
      <w:r w:rsidR="00013544" w:rsidRPr="00013544">
        <w:rPr>
          <w:color w:val="000000" w:themeColor="text1"/>
          <w:sz w:val="26"/>
          <w:szCs w:val="26"/>
        </w:rPr>
        <w:t>62</w:t>
      </w:r>
      <w:r w:rsidRPr="00013544">
        <w:rPr>
          <w:color w:val="000000" w:themeColor="text1"/>
          <w:sz w:val="26"/>
          <w:szCs w:val="26"/>
        </w:rPr>
        <w:t xml:space="preserve"> человек</w:t>
      </w:r>
      <w:r w:rsidR="00013544" w:rsidRPr="00013544">
        <w:rPr>
          <w:color w:val="000000" w:themeColor="text1"/>
          <w:sz w:val="26"/>
          <w:szCs w:val="26"/>
        </w:rPr>
        <w:t>а</w:t>
      </w:r>
      <w:r w:rsidRPr="00013544">
        <w:rPr>
          <w:color w:val="000000" w:themeColor="text1"/>
          <w:sz w:val="26"/>
          <w:szCs w:val="26"/>
        </w:rPr>
        <w:t xml:space="preserve"> равен R=1,2x</w:t>
      </w:r>
      <w:r w:rsidR="009777C6" w:rsidRPr="00013544">
        <w:rPr>
          <w:color w:val="000000" w:themeColor="text1"/>
          <w:sz w:val="26"/>
          <w:szCs w:val="26"/>
        </w:rPr>
        <w:t>4</w:t>
      </w:r>
      <w:r w:rsidRPr="00013544">
        <w:rPr>
          <w:color w:val="000000" w:themeColor="text1"/>
          <w:sz w:val="26"/>
          <w:szCs w:val="26"/>
        </w:rPr>
        <w:t>,5=</w:t>
      </w:r>
      <w:r w:rsidR="009777C6" w:rsidRPr="00013544">
        <w:rPr>
          <w:color w:val="000000" w:themeColor="text1"/>
          <w:sz w:val="26"/>
          <w:szCs w:val="26"/>
        </w:rPr>
        <w:t>5,4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</w:t>
      </w:r>
      <w:r w:rsidR="00013544">
        <w:rPr>
          <w:color w:val="000000" w:themeColor="text1"/>
          <w:sz w:val="26"/>
          <w:szCs w:val="26"/>
        </w:rPr>
        <w:t xml:space="preserve"> и бюджетные</w:t>
      </w:r>
      <w:r w:rsidR="00AC1324" w:rsidRPr="00BD0F15">
        <w:rPr>
          <w:color w:val="000000" w:themeColor="text1"/>
          <w:sz w:val="26"/>
          <w:szCs w:val="26"/>
        </w:rPr>
        <w:t xml:space="preserve">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</w:t>
      </w:r>
      <w:r w:rsidR="00013544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70245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0,001</w:t>
            </w:r>
          </w:p>
        </w:tc>
      </w:tr>
      <w:tr w:rsidR="00570245" w:rsidRPr="00BD0F15" w:rsidTr="00F065A1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001</w:t>
            </w:r>
          </w:p>
        </w:tc>
      </w:tr>
      <w:tr w:rsidR="00570245" w:rsidRPr="00BD0F15" w:rsidTr="00F065A1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247110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570245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70245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</w:t>
            </w:r>
            <w:r w:rsidRPr="00013544">
              <w:rPr>
                <w:rStyle w:val="af"/>
                <w:b w:val="0"/>
                <w:color w:val="000000" w:themeColor="text1"/>
              </w:rPr>
              <w:t>3</w:t>
            </w:r>
            <w:r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70245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70245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C514D7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17,534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570245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C514D7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17,534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9</w:t>
      </w:r>
    </w:p>
    <w:p w:rsidR="009510D3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F740DE" w:rsidRPr="0064703E">
              <w:rPr>
                <w:color w:val="000000" w:themeColor="text1"/>
                <w:sz w:val="24"/>
                <w:szCs w:val="24"/>
              </w:rPr>
              <w:t>20</w:t>
            </w:r>
            <w:r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506C61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506C61">
              <w:rPr>
                <w:color w:val="000000" w:themeColor="text1"/>
                <w:sz w:val="24"/>
                <w:szCs w:val="24"/>
              </w:rPr>
              <w:t>055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2,153</w:t>
            </w:r>
          </w:p>
        </w:tc>
        <w:tc>
          <w:tcPr>
            <w:tcW w:w="1680" w:type="dxa"/>
            <w:vAlign w:val="center"/>
          </w:tcPr>
          <w:p w:rsidR="001C2800" w:rsidRPr="00C514D7" w:rsidRDefault="00F740DE" w:rsidP="00C514D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1.</w:t>
            </w:r>
            <w:r w:rsidR="00C514D7">
              <w:rPr>
                <w:color w:val="000000" w:themeColor="text1"/>
                <w:sz w:val="24"/>
                <w:szCs w:val="24"/>
              </w:rPr>
              <w:t>321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47796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EE4472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EE4472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0,882</w:t>
            </w:r>
          </w:p>
        </w:tc>
        <w:tc>
          <w:tcPr>
            <w:tcW w:w="1680" w:type="dxa"/>
            <w:vAlign w:val="center"/>
          </w:tcPr>
          <w:p w:rsidR="001C2800" w:rsidRPr="00F740DE" w:rsidRDefault="00EE4472" w:rsidP="00F740D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0,</w:t>
            </w:r>
            <w:r w:rsidR="00F740DE">
              <w:rPr>
                <w:color w:val="000000" w:themeColor="text1"/>
                <w:sz w:val="24"/>
                <w:szCs w:val="24"/>
                <w:lang w:val="en-US"/>
              </w:rPr>
              <w:t>488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75CEE">
        <w:rPr>
          <w:b/>
          <w:color w:val="000000" w:themeColor="text1"/>
          <w:sz w:val="26"/>
          <w:szCs w:val="26"/>
        </w:rPr>
        <w:t>Часть 4.</w:t>
      </w:r>
      <w:r w:rsidRPr="00F75CEE">
        <w:rPr>
          <w:b/>
          <w:color w:val="000000" w:themeColor="text1"/>
          <w:sz w:val="26"/>
          <w:szCs w:val="26"/>
        </w:rPr>
        <w:tab/>
      </w:r>
      <w:r w:rsidR="00CE1E52" w:rsidRPr="00F75CEE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951425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  <w:bookmarkStart w:id="5" w:name="bookmark8"/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5972EA" w:rsidRPr="005972EA">
        <w:rPr>
          <w:color w:val="000000" w:themeColor="text1"/>
          <w:sz w:val="26"/>
          <w:szCs w:val="26"/>
        </w:rPr>
        <w:t>1.973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972EA" w:rsidRPr="005972EA">
        <w:rPr>
          <w:color w:val="000000" w:themeColor="text1"/>
          <w:sz w:val="26"/>
          <w:szCs w:val="26"/>
        </w:rPr>
        <w:t>1.582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344B6">
        <w:rPr>
          <w:color w:val="000000" w:themeColor="text1"/>
          <w:sz w:val="26"/>
          <w:szCs w:val="26"/>
        </w:rPr>
        <w:t>00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344B6">
        <w:rPr>
          <w:color w:val="000000" w:themeColor="text1"/>
          <w:sz w:val="26"/>
          <w:szCs w:val="26"/>
        </w:rPr>
        <w:t>0,00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B344B6">
        <w:rPr>
          <w:color w:val="000000" w:themeColor="text1"/>
          <w:sz w:val="26"/>
          <w:szCs w:val="26"/>
        </w:rPr>
        <w:t>70,1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F75CEE">
        <w:rPr>
          <w:color w:val="000000" w:themeColor="text1"/>
          <w:sz w:val="26"/>
          <w:szCs w:val="26"/>
        </w:rPr>
        <w:t>14,431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5052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5052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E01BA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850528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D0F15" w:rsidRDefault="00850528" w:rsidP="00E01BA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256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01BA5">
        <w:rPr>
          <w:color w:val="000000" w:themeColor="text1"/>
          <w:sz w:val="26"/>
          <w:szCs w:val="26"/>
        </w:rPr>
        <w:t xml:space="preserve"> пос. Березовский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E01BA5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F740DE" w:rsidRDefault="00F740DE" w:rsidP="00F75CE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5.45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F740DE" w:rsidRDefault="001C2D50" w:rsidP="00F740D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0,</w:t>
            </w:r>
            <w:r w:rsidR="00F740DE">
              <w:rPr>
                <w:color w:val="000000" w:themeColor="text1"/>
                <w:sz w:val="26"/>
                <w:szCs w:val="26"/>
                <w:lang w:val="en-US"/>
              </w:rPr>
              <w:t>23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F740DE" w:rsidRDefault="001C2D50" w:rsidP="00F740D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  <w:r w:rsidR="00F740DE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850528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506223">
        <w:rPr>
          <w:color w:val="000000" w:themeColor="text1"/>
          <w:sz w:val="26"/>
          <w:szCs w:val="26"/>
        </w:rPr>
        <w:t>20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AB2DA1">
        <w:rPr>
          <w:color w:val="000000" w:themeColor="text1"/>
          <w:sz w:val="26"/>
          <w:szCs w:val="26"/>
        </w:rPr>
        <w:t>1,</w:t>
      </w:r>
      <w:r w:rsidR="00506223">
        <w:rPr>
          <w:color w:val="000000" w:themeColor="text1"/>
          <w:sz w:val="26"/>
          <w:szCs w:val="26"/>
        </w:rPr>
        <w:t xml:space="preserve">98 </w:t>
      </w:r>
      <w:r w:rsidRPr="009A74DA">
        <w:rPr>
          <w:color w:val="000000" w:themeColor="text1"/>
          <w:sz w:val="26"/>
          <w:szCs w:val="26"/>
        </w:rPr>
        <w:t>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AB2DA1">
        <w:rPr>
          <w:color w:val="000000" w:themeColor="text1"/>
          <w:sz w:val="26"/>
          <w:szCs w:val="26"/>
        </w:rPr>
        <w:t>1,5</w:t>
      </w:r>
      <w:r w:rsidR="00506223">
        <w:rPr>
          <w:color w:val="000000" w:themeColor="text1"/>
          <w:sz w:val="26"/>
          <w:szCs w:val="26"/>
        </w:rPr>
        <w:t>8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2D50">
        <w:rPr>
          <w:color w:val="000000" w:themeColor="text1"/>
          <w:sz w:val="26"/>
          <w:szCs w:val="26"/>
        </w:rPr>
        <w:t>0,00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–0,</w:t>
      </w:r>
      <w:r w:rsidR="00506223">
        <w:rPr>
          <w:color w:val="000000" w:themeColor="text1"/>
          <w:sz w:val="26"/>
          <w:szCs w:val="26"/>
        </w:rPr>
        <w:t>4</w:t>
      </w:r>
      <w:r w:rsidR="001C2D50">
        <w:rPr>
          <w:color w:val="000000" w:themeColor="text1"/>
          <w:sz w:val="26"/>
          <w:szCs w:val="26"/>
        </w:rPr>
        <w:t xml:space="preserve"> </w:t>
      </w:r>
      <w:r w:rsidRPr="009A74DA">
        <w:rPr>
          <w:color w:val="000000" w:themeColor="text1"/>
          <w:sz w:val="26"/>
          <w:szCs w:val="26"/>
        </w:rPr>
        <w:t>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F065A1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Баланс водоснабжения </w:t>
      </w:r>
      <w:r w:rsidR="003E50D2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ос.</w:t>
      </w:r>
      <w:r w:rsidR="0085052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Березовский</w:t>
      </w:r>
    </w:p>
    <w:bookmarkStart w:id="7" w:name="_MON_1609001768"/>
    <w:bookmarkEnd w:id="7"/>
    <w:p w:rsidR="00CE1E52" w:rsidRPr="00BD0F15" w:rsidRDefault="005972EA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663" w:dyaOrig="4889">
          <v:shape id="_x0000_i1026" type="#_x0000_t75" style="width:497.5pt;height:238.5pt" o:ole="">
            <v:imagedata r:id="rId13" o:title=""/>
          </v:shape>
          <o:OLEObject Type="Embed" ProgID="Excel.Sheet.12" ShapeID="_x0000_i1026" DrawAspect="Content" ObjectID="_1698826334" r:id="rId14"/>
        </w:object>
      </w:r>
      <w:bookmarkStart w:id="8" w:name="_GoBack"/>
      <w:bookmarkEnd w:id="8"/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D0F15">
        <w:rPr>
          <w:color w:val="000000" w:themeColor="text1"/>
          <w:sz w:val="26"/>
          <w:szCs w:val="26"/>
        </w:rPr>
        <w:t xml:space="preserve">Панкрушихинского </w:t>
      </w:r>
      <w:r w:rsidRPr="00BD0F15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lastRenderedPageBreak/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E433D7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3E50D2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3E50D2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пос.</w:t>
      </w:r>
      <w:r w:rsidR="002100A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</w:t>
            </w:r>
            <w:r w:rsidR="002100A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E1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E433D7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B2DA1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B2DA1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B2DA1" w:rsidRDefault="00AB2DA1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пос.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Березовский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F30E24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50528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402FBA" w:rsidRPr="00402FBA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02FBA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382DD6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3E50D2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E433D7">
        <w:rPr>
          <w:color w:val="000000" w:themeColor="text1"/>
          <w:sz w:val="26"/>
          <w:szCs w:val="26"/>
        </w:rPr>
        <w:t>пос. 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F7DAD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95A98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1041EB">
        <w:rPr>
          <w:b/>
          <w:bCs/>
          <w:sz w:val="26"/>
          <w:szCs w:val="26"/>
        </w:rPr>
        <w:lastRenderedPageBreak/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02FBA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E433D7">
        <w:rPr>
          <w:bCs/>
          <w:sz w:val="26"/>
          <w:szCs w:val="26"/>
        </w:rPr>
        <w:t>пос. Березовский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 w:rsidR="00E433D7">
        <w:rPr>
          <w:bCs/>
          <w:sz w:val="26"/>
          <w:szCs w:val="26"/>
        </w:rPr>
        <w:t xml:space="preserve">распределительная сеть протяженностью </w:t>
      </w:r>
      <w:r w:rsidR="00395A98">
        <w:rPr>
          <w:bCs/>
          <w:sz w:val="26"/>
          <w:szCs w:val="26"/>
        </w:rPr>
        <w:t>6</w:t>
      </w:r>
      <w:r w:rsidR="00E433D7">
        <w:rPr>
          <w:bCs/>
          <w:sz w:val="26"/>
          <w:szCs w:val="26"/>
        </w:rPr>
        <w:t xml:space="preserve">,0 км. Существующих </w:t>
      </w:r>
      <w:r w:rsidR="007F7DAD">
        <w:rPr>
          <w:bCs/>
          <w:sz w:val="26"/>
          <w:szCs w:val="26"/>
        </w:rPr>
        <w:t>мощностей по подаче питьевой воды в сеть</w:t>
      </w:r>
      <w:r w:rsidR="00E433D7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>
        <w:rPr>
          <w:bCs/>
          <w:sz w:val="26"/>
          <w:szCs w:val="26"/>
        </w:rPr>
        <w:t>.</w:t>
      </w:r>
    </w:p>
    <w:p w:rsidR="007F7DA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E433D7">
        <w:rPr>
          <w:bCs/>
          <w:sz w:val="26"/>
          <w:szCs w:val="26"/>
        </w:rPr>
        <w:t>Железнодорожный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не планируется. В </w:t>
      </w:r>
      <w:r w:rsidR="00E433D7">
        <w:rPr>
          <w:bCs/>
          <w:sz w:val="26"/>
          <w:szCs w:val="26"/>
        </w:rPr>
        <w:t>пос. Березовском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E433D7">
        <w:rPr>
          <w:bCs/>
          <w:sz w:val="26"/>
          <w:szCs w:val="26"/>
        </w:rPr>
        <w:t>Железнодорожный</w:t>
      </w:r>
      <w:r>
        <w:rPr>
          <w:bCs/>
          <w:sz w:val="26"/>
          <w:szCs w:val="26"/>
        </w:rPr>
        <w:t xml:space="preserve"> сельсовет, а так же в </w:t>
      </w:r>
      <w:r w:rsidR="00E433D7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с. </w:t>
      </w:r>
      <w:r w:rsidR="00E433D7">
        <w:rPr>
          <w:bCs/>
          <w:sz w:val="26"/>
          <w:szCs w:val="26"/>
        </w:rPr>
        <w:t>Березовский</w:t>
      </w:r>
      <w:r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8505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50528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Железно</w:t>
      </w:r>
      <w:r w:rsidR="003927C0">
        <w:rPr>
          <w:bCs/>
          <w:sz w:val="26"/>
          <w:szCs w:val="26"/>
        </w:rPr>
        <w:t>до</w:t>
      </w:r>
      <w:r>
        <w:rPr>
          <w:bCs/>
          <w:sz w:val="26"/>
          <w:szCs w:val="26"/>
        </w:rPr>
        <w:t>рожный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Железнодорожный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Железнодорожный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lastRenderedPageBreak/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216D6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7641B7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7641B7" w:rsidRPr="00FB6E03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Строительство станции водоочистки контейнерного типа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FB6E03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E30C69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E433D7">
        <w:rPr>
          <w:bCs/>
          <w:sz w:val="26"/>
          <w:szCs w:val="26"/>
        </w:rPr>
        <w:t>Железнодорожный</w:t>
      </w:r>
      <w:r w:rsidRPr="008E6D27">
        <w:rPr>
          <w:bCs/>
          <w:sz w:val="26"/>
          <w:szCs w:val="26"/>
        </w:rPr>
        <w:t xml:space="preserve"> сельсовет нет.</w:t>
      </w:r>
    </w:p>
    <w:p w:rsidR="00972672" w:rsidRDefault="00972672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змер земляных карт составляет 25,0 Х 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6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,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250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с.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Березовский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с.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Березовский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сельсовет не предусмотрено строительство централизованной системы водоотведения в населенных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01F" w:rsidRDefault="0075001F" w:rsidP="00F34DBF">
      <w:r>
        <w:separator/>
      </w:r>
    </w:p>
  </w:endnote>
  <w:endnote w:type="continuationSeparator" w:id="0">
    <w:p w:rsidR="0075001F" w:rsidRDefault="0075001F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90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740DE" w:rsidRPr="003442A9" w:rsidRDefault="00F740DE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3442A9">
          <w:rPr>
            <w:rFonts w:ascii="Times New Roman" w:hAnsi="Times New Roman" w:cs="Times New Roman"/>
            <w:sz w:val="28"/>
          </w:rPr>
          <w:fldChar w:fldCharType="begin"/>
        </w:r>
        <w:r w:rsidRPr="003442A9">
          <w:rPr>
            <w:rFonts w:ascii="Times New Roman" w:hAnsi="Times New Roman" w:cs="Times New Roman"/>
            <w:sz w:val="28"/>
          </w:rPr>
          <w:instrText>PAGE   \* MERGEFORMAT</w:instrText>
        </w:r>
        <w:r w:rsidRPr="003442A9">
          <w:rPr>
            <w:rFonts w:ascii="Times New Roman" w:hAnsi="Times New Roman" w:cs="Times New Roman"/>
            <w:sz w:val="28"/>
          </w:rPr>
          <w:fldChar w:fldCharType="separate"/>
        </w:r>
        <w:r w:rsidR="005972EA">
          <w:rPr>
            <w:rFonts w:ascii="Times New Roman" w:hAnsi="Times New Roman" w:cs="Times New Roman"/>
            <w:noProof/>
            <w:sz w:val="28"/>
          </w:rPr>
          <w:t>23</w:t>
        </w:r>
        <w:r w:rsidRPr="003442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740DE" w:rsidRDefault="00F740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40DE" w:rsidRPr="00A715FB" w:rsidRDefault="00F740D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5972EA">
          <w:rPr>
            <w:rFonts w:ascii="Times New Roman" w:hAnsi="Times New Roman" w:cs="Times New Roman"/>
            <w:noProof/>
          </w:rPr>
          <w:t>30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F740DE" w:rsidRDefault="00F740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01F" w:rsidRDefault="0075001F" w:rsidP="00F34DBF">
      <w:r>
        <w:separator/>
      </w:r>
    </w:p>
  </w:footnote>
  <w:footnote w:type="continuationSeparator" w:id="0">
    <w:p w:rsidR="0075001F" w:rsidRDefault="0075001F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B78CD"/>
    <w:multiLevelType w:val="hybridMultilevel"/>
    <w:tmpl w:val="12243F4A"/>
    <w:lvl w:ilvl="0" w:tplc="1EA0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3544"/>
    <w:rsid w:val="00014CED"/>
    <w:rsid w:val="00020C53"/>
    <w:rsid w:val="000258F7"/>
    <w:rsid w:val="00042EC3"/>
    <w:rsid w:val="00046BC9"/>
    <w:rsid w:val="00056A38"/>
    <w:rsid w:val="00061D92"/>
    <w:rsid w:val="00063D47"/>
    <w:rsid w:val="000836D7"/>
    <w:rsid w:val="0008479F"/>
    <w:rsid w:val="0009187E"/>
    <w:rsid w:val="000955CC"/>
    <w:rsid w:val="000A12BF"/>
    <w:rsid w:val="000A7C96"/>
    <w:rsid w:val="000B11C4"/>
    <w:rsid w:val="000B5DEE"/>
    <w:rsid w:val="000B78B0"/>
    <w:rsid w:val="000C2110"/>
    <w:rsid w:val="000C37D3"/>
    <w:rsid w:val="000E4D3E"/>
    <w:rsid w:val="000E4E33"/>
    <w:rsid w:val="00103A47"/>
    <w:rsid w:val="001041EB"/>
    <w:rsid w:val="00106A30"/>
    <w:rsid w:val="00122E70"/>
    <w:rsid w:val="00124A46"/>
    <w:rsid w:val="00131E03"/>
    <w:rsid w:val="0013333B"/>
    <w:rsid w:val="0014041F"/>
    <w:rsid w:val="00143252"/>
    <w:rsid w:val="00164130"/>
    <w:rsid w:val="00171F86"/>
    <w:rsid w:val="00173F4A"/>
    <w:rsid w:val="00184848"/>
    <w:rsid w:val="00185B52"/>
    <w:rsid w:val="001A3C64"/>
    <w:rsid w:val="001A7184"/>
    <w:rsid w:val="001B7E76"/>
    <w:rsid w:val="001C2800"/>
    <w:rsid w:val="001C2D50"/>
    <w:rsid w:val="001C4FDF"/>
    <w:rsid w:val="001D665B"/>
    <w:rsid w:val="001E31BD"/>
    <w:rsid w:val="001E34E0"/>
    <w:rsid w:val="001E7F2A"/>
    <w:rsid w:val="001F2B3F"/>
    <w:rsid w:val="001F4EED"/>
    <w:rsid w:val="002037A9"/>
    <w:rsid w:val="002070C6"/>
    <w:rsid w:val="002100A8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3D85"/>
    <w:rsid w:val="002A46AE"/>
    <w:rsid w:val="002B26FD"/>
    <w:rsid w:val="002B61C9"/>
    <w:rsid w:val="002C0C73"/>
    <w:rsid w:val="002C174D"/>
    <w:rsid w:val="002C2326"/>
    <w:rsid w:val="002C4234"/>
    <w:rsid w:val="002E2070"/>
    <w:rsid w:val="002E2F76"/>
    <w:rsid w:val="00301495"/>
    <w:rsid w:val="0030629B"/>
    <w:rsid w:val="00312967"/>
    <w:rsid w:val="0031502B"/>
    <w:rsid w:val="0033336B"/>
    <w:rsid w:val="00336339"/>
    <w:rsid w:val="00341A46"/>
    <w:rsid w:val="00343214"/>
    <w:rsid w:val="003442A9"/>
    <w:rsid w:val="003776F4"/>
    <w:rsid w:val="00382DD6"/>
    <w:rsid w:val="003927C0"/>
    <w:rsid w:val="0039302D"/>
    <w:rsid w:val="00394F8E"/>
    <w:rsid w:val="00395A98"/>
    <w:rsid w:val="00395C94"/>
    <w:rsid w:val="003B0CCC"/>
    <w:rsid w:val="003B2D2C"/>
    <w:rsid w:val="003B2F10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FBA"/>
    <w:rsid w:val="0040537C"/>
    <w:rsid w:val="00415EF4"/>
    <w:rsid w:val="00431BFB"/>
    <w:rsid w:val="00433348"/>
    <w:rsid w:val="00441339"/>
    <w:rsid w:val="00446C51"/>
    <w:rsid w:val="0044758D"/>
    <w:rsid w:val="00452219"/>
    <w:rsid w:val="0045514F"/>
    <w:rsid w:val="00460F4C"/>
    <w:rsid w:val="00464025"/>
    <w:rsid w:val="00464866"/>
    <w:rsid w:val="00471987"/>
    <w:rsid w:val="0047633D"/>
    <w:rsid w:val="0047796E"/>
    <w:rsid w:val="00490986"/>
    <w:rsid w:val="004A03C8"/>
    <w:rsid w:val="004A2D72"/>
    <w:rsid w:val="004A3443"/>
    <w:rsid w:val="004B4309"/>
    <w:rsid w:val="004C3E6A"/>
    <w:rsid w:val="004C6753"/>
    <w:rsid w:val="004C752C"/>
    <w:rsid w:val="004D736A"/>
    <w:rsid w:val="004E0B5A"/>
    <w:rsid w:val="004E0E88"/>
    <w:rsid w:val="004E6C97"/>
    <w:rsid w:val="004F0914"/>
    <w:rsid w:val="0050270B"/>
    <w:rsid w:val="00506223"/>
    <w:rsid w:val="00506C61"/>
    <w:rsid w:val="00514BD8"/>
    <w:rsid w:val="00520C95"/>
    <w:rsid w:val="005214EE"/>
    <w:rsid w:val="0052364E"/>
    <w:rsid w:val="005248A3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80367"/>
    <w:rsid w:val="005821C8"/>
    <w:rsid w:val="00584029"/>
    <w:rsid w:val="00590076"/>
    <w:rsid w:val="00595850"/>
    <w:rsid w:val="00596FFC"/>
    <w:rsid w:val="005972EA"/>
    <w:rsid w:val="00597B6C"/>
    <w:rsid w:val="005B0DFF"/>
    <w:rsid w:val="005D22A2"/>
    <w:rsid w:val="005D7B3F"/>
    <w:rsid w:val="005E3EDC"/>
    <w:rsid w:val="005F014E"/>
    <w:rsid w:val="005F174D"/>
    <w:rsid w:val="005F3A80"/>
    <w:rsid w:val="006027B3"/>
    <w:rsid w:val="00612292"/>
    <w:rsid w:val="006140DF"/>
    <w:rsid w:val="00614882"/>
    <w:rsid w:val="0061728B"/>
    <w:rsid w:val="006252FB"/>
    <w:rsid w:val="00630863"/>
    <w:rsid w:val="00632B99"/>
    <w:rsid w:val="0064511F"/>
    <w:rsid w:val="0064703E"/>
    <w:rsid w:val="00662368"/>
    <w:rsid w:val="00667EEF"/>
    <w:rsid w:val="00677855"/>
    <w:rsid w:val="00690144"/>
    <w:rsid w:val="00690B66"/>
    <w:rsid w:val="006A158C"/>
    <w:rsid w:val="006A25D5"/>
    <w:rsid w:val="006B68AA"/>
    <w:rsid w:val="006C2229"/>
    <w:rsid w:val="006C2CD3"/>
    <w:rsid w:val="006D2EE3"/>
    <w:rsid w:val="006E71C9"/>
    <w:rsid w:val="006F2C21"/>
    <w:rsid w:val="006F5447"/>
    <w:rsid w:val="006F6184"/>
    <w:rsid w:val="007071E1"/>
    <w:rsid w:val="00720B39"/>
    <w:rsid w:val="00721A5A"/>
    <w:rsid w:val="007274CE"/>
    <w:rsid w:val="00730BA5"/>
    <w:rsid w:val="00735C4D"/>
    <w:rsid w:val="00737F1C"/>
    <w:rsid w:val="0075001F"/>
    <w:rsid w:val="00754D0B"/>
    <w:rsid w:val="007641B7"/>
    <w:rsid w:val="00767048"/>
    <w:rsid w:val="007925B3"/>
    <w:rsid w:val="007A15E2"/>
    <w:rsid w:val="007C5570"/>
    <w:rsid w:val="007D4619"/>
    <w:rsid w:val="007F7DAD"/>
    <w:rsid w:val="0081086E"/>
    <w:rsid w:val="00816F9C"/>
    <w:rsid w:val="0082777A"/>
    <w:rsid w:val="008318E3"/>
    <w:rsid w:val="00836340"/>
    <w:rsid w:val="0084036D"/>
    <w:rsid w:val="00850528"/>
    <w:rsid w:val="0085752B"/>
    <w:rsid w:val="00866D0C"/>
    <w:rsid w:val="008711F2"/>
    <w:rsid w:val="00880E4D"/>
    <w:rsid w:val="0089659B"/>
    <w:rsid w:val="008A3E46"/>
    <w:rsid w:val="008B2D68"/>
    <w:rsid w:val="008B3194"/>
    <w:rsid w:val="008B3914"/>
    <w:rsid w:val="008D52F1"/>
    <w:rsid w:val="008E259D"/>
    <w:rsid w:val="008E3A7A"/>
    <w:rsid w:val="008E5FF2"/>
    <w:rsid w:val="008E6D27"/>
    <w:rsid w:val="008F646A"/>
    <w:rsid w:val="008F6DD5"/>
    <w:rsid w:val="0090544D"/>
    <w:rsid w:val="009112B7"/>
    <w:rsid w:val="00913169"/>
    <w:rsid w:val="00934487"/>
    <w:rsid w:val="009350D7"/>
    <w:rsid w:val="00937DD3"/>
    <w:rsid w:val="00941268"/>
    <w:rsid w:val="00947446"/>
    <w:rsid w:val="009474ED"/>
    <w:rsid w:val="009475A9"/>
    <w:rsid w:val="009510D3"/>
    <w:rsid w:val="00951425"/>
    <w:rsid w:val="0096463C"/>
    <w:rsid w:val="00971C58"/>
    <w:rsid w:val="00972672"/>
    <w:rsid w:val="009777C6"/>
    <w:rsid w:val="00982E2E"/>
    <w:rsid w:val="009921B0"/>
    <w:rsid w:val="009A32B0"/>
    <w:rsid w:val="009A3349"/>
    <w:rsid w:val="009A74DA"/>
    <w:rsid w:val="009B273A"/>
    <w:rsid w:val="009C3231"/>
    <w:rsid w:val="009C5BF8"/>
    <w:rsid w:val="009C7D74"/>
    <w:rsid w:val="009F7AC8"/>
    <w:rsid w:val="00A018DA"/>
    <w:rsid w:val="00A2540B"/>
    <w:rsid w:val="00A275C5"/>
    <w:rsid w:val="00A34751"/>
    <w:rsid w:val="00A41B4E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B2DA1"/>
    <w:rsid w:val="00AB5FCB"/>
    <w:rsid w:val="00AC1324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3CBE"/>
    <w:rsid w:val="00B45090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A79A6"/>
    <w:rsid w:val="00BB268D"/>
    <w:rsid w:val="00BC4E54"/>
    <w:rsid w:val="00BD0F15"/>
    <w:rsid w:val="00BD2665"/>
    <w:rsid w:val="00BE7FE8"/>
    <w:rsid w:val="00BF1A74"/>
    <w:rsid w:val="00C00255"/>
    <w:rsid w:val="00C02794"/>
    <w:rsid w:val="00C02AF9"/>
    <w:rsid w:val="00C02D06"/>
    <w:rsid w:val="00C03B35"/>
    <w:rsid w:val="00C1313A"/>
    <w:rsid w:val="00C13E52"/>
    <w:rsid w:val="00C14A98"/>
    <w:rsid w:val="00C160CB"/>
    <w:rsid w:val="00C20B87"/>
    <w:rsid w:val="00C20CED"/>
    <w:rsid w:val="00C216D6"/>
    <w:rsid w:val="00C42B3D"/>
    <w:rsid w:val="00C45C5C"/>
    <w:rsid w:val="00C514D7"/>
    <w:rsid w:val="00C52540"/>
    <w:rsid w:val="00C62B5E"/>
    <w:rsid w:val="00C90420"/>
    <w:rsid w:val="00CA1571"/>
    <w:rsid w:val="00CA5D8B"/>
    <w:rsid w:val="00CB2EBF"/>
    <w:rsid w:val="00CB5987"/>
    <w:rsid w:val="00CB5B15"/>
    <w:rsid w:val="00CD661A"/>
    <w:rsid w:val="00CE1E52"/>
    <w:rsid w:val="00CE543A"/>
    <w:rsid w:val="00CE65D4"/>
    <w:rsid w:val="00CF1159"/>
    <w:rsid w:val="00CF74DA"/>
    <w:rsid w:val="00D001BF"/>
    <w:rsid w:val="00D00B63"/>
    <w:rsid w:val="00D03EF7"/>
    <w:rsid w:val="00D04C70"/>
    <w:rsid w:val="00D06AB4"/>
    <w:rsid w:val="00D1255D"/>
    <w:rsid w:val="00D1444D"/>
    <w:rsid w:val="00D22B17"/>
    <w:rsid w:val="00D26FA1"/>
    <w:rsid w:val="00D306F6"/>
    <w:rsid w:val="00D41B02"/>
    <w:rsid w:val="00D41CBD"/>
    <w:rsid w:val="00D50E1F"/>
    <w:rsid w:val="00D56163"/>
    <w:rsid w:val="00D61BC5"/>
    <w:rsid w:val="00D66B02"/>
    <w:rsid w:val="00D75963"/>
    <w:rsid w:val="00D773AE"/>
    <w:rsid w:val="00D8163A"/>
    <w:rsid w:val="00DB78AB"/>
    <w:rsid w:val="00DC1B56"/>
    <w:rsid w:val="00DE376D"/>
    <w:rsid w:val="00DE49C0"/>
    <w:rsid w:val="00DF583C"/>
    <w:rsid w:val="00DF78D9"/>
    <w:rsid w:val="00E01BA5"/>
    <w:rsid w:val="00E12D05"/>
    <w:rsid w:val="00E15CC5"/>
    <w:rsid w:val="00E30C69"/>
    <w:rsid w:val="00E35322"/>
    <w:rsid w:val="00E36BD6"/>
    <w:rsid w:val="00E41692"/>
    <w:rsid w:val="00E433D7"/>
    <w:rsid w:val="00E451AA"/>
    <w:rsid w:val="00E47648"/>
    <w:rsid w:val="00E4772B"/>
    <w:rsid w:val="00E62920"/>
    <w:rsid w:val="00E62D77"/>
    <w:rsid w:val="00E75579"/>
    <w:rsid w:val="00E766E9"/>
    <w:rsid w:val="00E818AF"/>
    <w:rsid w:val="00E82D92"/>
    <w:rsid w:val="00E83F18"/>
    <w:rsid w:val="00E9617B"/>
    <w:rsid w:val="00EA2114"/>
    <w:rsid w:val="00EA303B"/>
    <w:rsid w:val="00EA32E6"/>
    <w:rsid w:val="00EA3513"/>
    <w:rsid w:val="00EA3A6A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EF6C30"/>
    <w:rsid w:val="00EF7FEA"/>
    <w:rsid w:val="00F032B2"/>
    <w:rsid w:val="00F065A1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740DE"/>
    <w:rsid w:val="00F75CEE"/>
    <w:rsid w:val="00F8463A"/>
    <w:rsid w:val="00F93F55"/>
    <w:rsid w:val="00F9779B"/>
    <w:rsid w:val="00FB6E03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40F4-FD9B-4DDB-A3A1-3500F3D8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64703E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64703E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3199</c:v>
                </c:pt>
                <c:pt idx="1">
                  <c:v>0</c:v>
                </c:pt>
                <c:pt idx="2">
                  <c:v>0</c:v>
                </c:pt>
                <c:pt idx="3">
                  <c:v>244</c:v>
                </c:pt>
                <c:pt idx="4">
                  <c:v>2809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6707B-DFCA-47A3-AF1C-025FC370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34</Pages>
  <Words>7174</Words>
  <Characters>40894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78</cp:revision>
  <cp:lastPrinted>2019-06-03T14:11:00Z</cp:lastPrinted>
  <dcterms:created xsi:type="dcterms:W3CDTF">2019-03-25T09:54:00Z</dcterms:created>
  <dcterms:modified xsi:type="dcterms:W3CDTF">2021-11-19T04:26:00Z</dcterms:modified>
</cp:coreProperties>
</file>